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AE7C7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20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CA658D" w:rsidP="00CA6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 w:rsidR="00AE7C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(Макароны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C70" w:rsidRPr="00AE7C70" w:rsidRDefault="00236DA2" w:rsidP="00AE7C70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AE7C70" w:rsidRPr="00AE7C70">
        <w:rPr>
          <w:rFonts w:ascii="Times New Roman" w:eastAsia="Calibri" w:hAnsi="Times New Roman" w:cs="Times New Roman"/>
          <w:sz w:val="24"/>
          <w:szCs w:val="24"/>
        </w:rPr>
        <w:t xml:space="preserve"> 582 661,15 (Пятьсот восемьдесят две тысячи шестьсот шестьдесят один) рубль 15 копеек</w:t>
      </w:r>
      <w:r w:rsidR="00AE7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58D" w:rsidRPr="00AE7C70" w:rsidRDefault="008E4912" w:rsidP="00AE7C70">
      <w:pPr>
        <w:pStyle w:val="ConsPlusNormal"/>
        <w:tabs>
          <w:tab w:val="left" w:pos="5670"/>
          <w:tab w:val="left" w:pos="6096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658D" w:rsidRDefault="003A37DB" w:rsidP="00CA6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E7C70" w:rsidRP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июля 2012 года по 30 сентября 2012 года</w:t>
      </w:r>
    </w:p>
    <w:p w:rsidR="00CC3EFA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C70" w:rsidRPr="00CA658D" w:rsidRDefault="00AE7C70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Чепикова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Михайловна </w:t>
      </w:r>
      <w:r w:rsidRPr="00AE7C70">
        <w:rPr>
          <w:rFonts w:ascii="Times New Roman" w:hAnsi="Times New Roman" w:cs="Times New Roman"/>
          <w:color w:val="000000"/>
          <w:sz w:val="24"/>
          <w:szCs w:val="24"/>
        </w:rPr>
        <w:t>– главный бухгалтер ГА</w:t>
      </w:r>
      <w:r>
        <w:rPr>
          <w:rFonts w:ascii="Times New Roman" w:hAnsi="Times New Roman" w:cs="Times New Roman"/>
          <w:color w:val="000000"/>
          <w:sz w:val="24"/>
          <w:szCs w:val="24"/>
        </w:rPr>
        <w:t>У КК «ЦОП УСЗН», член комиссии.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D62C07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AE7C70" w:rsidRPr="00CA658D" w:rsidRDefault="00AE7C70" w:rsidP="00AE7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Default="00AE7C70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комиссии;</w:t>
            </w:r>
          </w:p>
          <w:p w:rsidR="00AE7C70" w:rsidRPr="00CA658D" w:rsidRDefault="00AE7C70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DD2D83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DD2D83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AE7C70" w:rsidRDefault="00AE7C70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AE7C70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Корпорация"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7C70" w:rsidRDefault="00DD2D83" w:rsidP="00AE7C7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r w:rsidR="00C00A35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236DA2" w:rsidRPr="008C6F15" w:rsidRDefault="00C00A35" w:rsidP="00AE7C7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Новороссийская, 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DD2D83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D2D83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D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DD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DD2D83" w:rsidRDefault="00DD2D83" w:rsidP="00DD2D8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522DC8" w:rsidRPr="008C6F15" w:rsidRDefault="00DD2D83" w:rsidP="00DD2D8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Новороссийская, 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07F" w:rsidRDefault="007E0D99" w:rsidP="00BB307F">
      <w:pPr>
        <w:pStyle w:val="a8"/>
        <w:tabs>
          <w:tab w:val="left" w:pos="426"/>
        </w:tabs>
        <w:jc w:val="both"/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DD2D83">
        <w:rPr>
          <w:color w:val="000000"/>
        </w:rPr>
        <w:t>58</w:t>
      </w:r>
      <w:r w:rsidR="00102D5C">
        <w:rPr>
          <w:color w:val="000000"/>
        </w:rPr>
        <w:t xml:space="preserve">) </w:t>
      </w:r>
      <w:r w:rsidRPr="008C6F15">
        <w:t>Обществ</w:t>
      </w:r>
      <w:r w:rsidR="001E6B72">
        <w:t>а</w:t>
      </w:r>
      <w:r w:rsidRPr="008C6F15">
        <w:t xml:space="preserve"> с ограниченной ответственностью</w:t>
      </w:r>
      <w:r w:rsidR="003A02AE">
        <w:t xml:space="preserve"> </w:t>
      </w:r>
      <w:r w:rsidRPr="008C6F15">
        <w:t>«</w:t>
      </w:r>
      <w:r w:rsidR="00DD2D83">
        <w:t>Ассоциация делового сотрудничества</w:t>
      </w:r>
      <w:r w:rsidRPr="008C6F15">
        <w:t>»</w:t>
      </w:r>
      <w:r>
        <w:t xml:space="preserve"> не соответствует </w:t>
      </w:r>
      <w:proofErr w:type="gramStart"/>
      <w:r>
        <w:t xml:space="preserve">требованиям, установленным в извещении о проведении запроса </w:t>
      </w:r>
      <w:r w:rsidR="003A02AE">
        <w:t xml:space="preserve">ценовых </w:t>
      </w:r>
      <w:r>
        <w:t>котировок</w:t>
      </w:r>
      <w:r w:rsidR="001E6B72">
        <w:t xml:space="preserve"> </w:t>
      </w:r>
      <w:r w:rsidR="001E6B72" w:rsidRPr="001E6B72">
        <w:t>в составе котировочной заявки не представлены</w:t>
      </w:r>
      <w:proofErr w:type="gramEnd"/>
      <w:r w:rsidR="001E6B72" w:rsidRPr="001E6B72">
        <w:t xml:space="preserve"> надлежаще заверенные копии </w:t>
      </w:r>
      <w:r w:rsidR="00771D23">
        <w:t xml:space="preserve"> документов</w:t>
      </w:r>
      <w:r w:rsidR="00BB307F">
        <w:t>:</w:t>
      </w:r>
      <w:r w:rsidR="00771D23" w:rsidRPr="00771D23">
        <w:t xml:space="preserve"> </w:t>
      </w:r>
    </w:p>
    <w:p w:rsidR="00BB307F" w:rsidRDefault="00BB307F" w:rsidP="00BB307F">
      <w:pPr>
        <w:pStyle w:val="a8"/>
        <w:tabs>
          <w:tab w:val="left" w:pos="426"/>
        </w:tabs>
        <w:jc w:val="both"/>
      </w:pPr>
      <w:r>
        <w:t>1. Необходимых сертификатов на товары, являющиеся предметом заключаемого договора, в соответствии с действующим законодательством Российской Федерации.</w:t>
      </w:r>
    </w:p>
    <w:p w:rsidR="009A4319" w:rsidRPr="00DD2D83" w:rsidRDefault="00BB307F" w:rsidP="00DD2D83">
      <w:pPr>
        <w:pStyle w:val="a8"/>
        <w:tabs>
          <w:tab w:val="left" w:pos="426"/>
        </w:tabs>
        <w:jc w:val="both"/>
      </w:pPr>
      <w:r>
        <w:t xml:space="preserve">2. Документов </w:t>
      </w:r>
      <w:r w:rsidR="00771D23" w:rsidRPr="00771D23">
        <w:t xml:space="preserve">подтверждающих, что участник процедуры закупки: </w:t>
      </w:r>
    </w:p>
    <w:p w:rsidR="00771D23" w:rsidRPr="00CA383A" w:rsidRDefault="00771D23" w:rsidP="00771D23">
      <w:pPr>
        <w:pStyle w:val="a8"/>
        <w:tabs>
          <w:tab w:val="left" w:pos="426"/>
        </w:tabs>
        <w:jc w:val="both"/>
      </w:pPr>
      <w:r>
        <w:t>- Н</w:t>
      </w:r>
      <w:r w:rsidRPr="00CA383A">
        <w:t xml:space="preserve">е находится в процессе ликвидации (для юридического лица) или </w:t>
      </w:r>
      <w:r>
        <w:t>не</w:t>
      </w:r>
      <w:r w:rsidRPr="00CA383A">
        <w:t xml:space="preserve"> </w:t>
      </w:r>
      <w:proofErr w:type="gramStart"/>
      <w:r w:rsidRPr="00CA383A">
        <w:t>признан</w:t>
      </w:r>
      <w:proofErr w:type="gramEnd"/>
      <w:r w:rsidRPr="00CA383A">
        <w:t xml:space="preserve"> по решению арбитражного суда несостоятельным (банкротом);</w:t>
      </w:r>
    </w:p>
    <w:p w:rsidR="00771D23" w:rsidRPr="00CA383A" w:rsidRDefault="00771D23" w:rsidP="00771D23">
      <w:pPr>
        <w:pStyle w:val="a8"/>
        <w:tabs>
          <w:tab w:val="left" w:pos="426"/>
        </w:tabs>
        <w:jc w:val="both"/>
      </w:pPr>
      <w:r>
        <w:t>- Н</w:t>
      </w:r>
      <w:r w:rsidRPr="00CA383A">
        <w:t>е явля</w:t>
      </w:r>
      <w:r>
        <w:t>ет</w:t>
      </w:r>
      <w:r w:rsidRPr="00CA383A">
        <w:t xml:space="preserve">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771D23" w:rsidRDefault="00771D23" w:rsidP="00771D23">
      <w:pPr>
        <w:pStyle w:val="a8"/>
        <w:tabs>
          <w:tab w:val="left" w:pos="426"/>
        </w:tabs>
        <w:jc w:val="both"/>
      </w:pPr>
      <w:r>
        <w:lastRenderedPageBreak/>
        <w:t>- Н</w:t>
      </w:r>
      <w:r w:rsidRPr="00CA383A">
        <w:t>е име</w:t>
      </w:r>
      <w:r>
        <w:t>е</w:t>
      </w:r>
      <w:r w:rsidRPr="00CA383A">
        <w:t xml:space="preserve">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</w:t>
      </w:r>
      <w:r w:rsidRPr="008647CA">
        <w:t>превышает двадцать пять процентов балансовой стоимости активов участника процедуры закупки, определяемой по</w:t>
      </w:r>
      <w:r w:rsidRPr="00CA383A">
        <w:t xml:space="preserve"> данным бухгалтерской отчетности за последн</w:t>
      </w:r>
      <w:r>
        <w:t>ий завершенный отчетный период.</w:t>
      </w:r>
    </w:p>
    <w:p w:rsidR="001E6B72" w:rsidRPr="00771D23" w:rsidRDefault="001E6B7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B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«Открытое акционерное общество «Южная Многоотраслевая Корпорация»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B307F">
        <w:rPr>
          <w:rFonts w:ascii="Times New Roman" w:eastAsia="Times New Roman" w:hAnsi="Times New Roman" w:cs="Times New Roman"/>
          <w:sz w:val="24"/>
          <w:szCs w:val="24"/>
          <w:lang w:eastAsia="ru-RU"/>
        </w:rPr>
        <w:t>2312122985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BB307F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B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574 900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B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 семьдесят четыре тысячи девятьсот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BB307F" w:rsidP="005A71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6F" w:rsidRDefault="00B5306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B5306F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B5306F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5306F"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5306F"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B5306F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6F4EA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5306F" w:rsidRPr="00B5306F" w:rsidRDefault="00B5306F" w:rsidP="00B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6F4EA9" w:rsidRPr="008370B8" w:rsidRDefault="006F4EA9" w:rsidP="00B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B5306F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4EA9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F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F4EA9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 w:rsidR="00B5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(Макароны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B5306F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r w:rsid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Многоотраслевая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рпорация»</w:t>
            </w:r>
          </w:p>
        </w:tc>
      </w:tr>
      <w:tr w:rsidR="006F4EA9" w:rsidRPr="00236DA2" w:rsidTr="00B5306F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B5306F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B5306F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4EA9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F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F4EA9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6F4EA9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 w:rsidR="00B5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(Макароны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B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сотрудничества»</w:t>
            </w:r>
          </w:p>
        </w:tc>
      </w:tr>
      <w:tr w:rsidR="006F4EA9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236DA2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752" w:rsidRDefault="00EA775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Pr="00E80A28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6F4EA9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6F4EA9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6F4EA9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EA7752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EA7752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«Южная Многоотраслевая Ко</w:t>
            </w: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рпорация»</w:t>
            </w:r>
            <w:r w:rsidR="0035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47A2" w:rsidRPr="008C6F15" w:rsidRDefault="00EA7752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2312122985, КПП </w:t>
            </w: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A7752" w:rsidRPr="00EA7752" w:rsidRDefault="00EA7752" w:rsidP="00EA775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</w:p>
          <w:p w:rsidR="006F4EA9" w:rsidRPr="008C6F15" w:rsidRDefault="00EA7752" w:rsidP="00EA775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55</w:t>
            </w:r>
          </w:p>
        </w:tc>
      </w:tr>
      <w:tr w:rsidR="006F4EA9" w:rsidRPr="00F5166E" w:rsidTr="00AB5435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EA7752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ИНН 2312159470,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A7752" w:rsidRPr="00EA7752" w:rsidRDefault="00EA7752" w:rsidP="00EA775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</w:p>
          <w:p w:rsidR="006F4EA9" w:rsidRPr="008C6F15" w:rsidRDefault="00EA7752" w:rsidP="00EA775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55</w:t>
            </w: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F5166E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7752" w:rsidRDefault="00B5306F" w:rsidP="00B5306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6F4EA9" w:rsidRPr="00F5166E" w:rsidRDefault="00EA7752" w:rsidP="00B5306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6F4EA9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6F4EA9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47A2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370B8" w:rsidRDefault="00EA7752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C6F15" w:rsidRDefault="00EA7752" w:rsidP="00E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Многоотраслевая Корпорация»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7A2" w:rsidRPr="00236DA2" w:rsidTr="00DC1D01">
        <w:trPr>
          <w:gridBefore w:val="1"/>
          <w:gridAfter w:val="1"/>
          <w:wBefore w:w="60" w:type="dxa"/>
          <w:wAfter w:w="11810" w:type="dxa"/>
          <w:trHeight w:val="1891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Default="00EA7752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8C6F15" w:rsidRDefault="00EA7752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сотрудничества»,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492456" w:rsidRDefault="003547A2" w:rsidP="00D0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3547A2" w:rsidRPr="00492456" w:rsidRDefault="003547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в извещении о проведении запроса ценовых котировок</w:t>
            </w:r>
          </w:p>
        </w:tc>
      </w:tr>
      <w:tr w:rsidR="003547A2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47A2" w:rsidRPr="00236DA2" w:rsidRDefault="003547A2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7A2" w:rsidRDefault="003547A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752" w:rsidRDefault="00EA775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47A2" w:rsidRDefault="003547A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547A2" w:rsidRDefault="003547A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547A2" w:rsidRDefault="003547A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547A2" w:rsidRDefault="003547A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547A2" w:rsidRPr="00236DA2" w:rsidRDefault="003547A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E5B19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370B8" w:rsidRDefault="00EA7752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C6F15" w:rsidRDefault="00EA7752" w:rsidP="00E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Default="00FE5B1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19" w:rsidRPr="00492456" w:rsidRDefault="006D5CF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574 900,00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492456" w:rsidRDefault="00FE5B1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5B19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370B8" w:rsidRDefault="00EA7752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C6F15" w:rsidRDefault="00EA7752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сотрудничества»,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Default="00FE5B1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19" w:rsidRPr="00492456" w:rsidRDefault="006D5CF3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580 649,00</w:t>
            </w:r>
            <w:bookmarkStart w:id="0" w:name="_GoBack"/>
            <w:bookmarkEnd w:id="0"/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E5B19" w:rsidRPr="008C6F15" w:rsidRDefault="00FE5B19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41932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180"/>
    <w:rsid w:val="005A7455"/>
    <w:rsid w:val="005B2BA7"/>
    <w:rsid w:val="005B7F6E"/>
    <w:rsid w:val="005D759C"/>
    <w:rsid w:val="005E0C44"/>
    <w:rsid w:val="005E1231"/>
    <w:rsid w:val="005E4250"/>
    <w:rsid w:val="005E4D65"/>
    <w:rsid w:val="005F2D2F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CF3"/>
    <w:rsid w:val="006E2FED"/>
    <w:rsid w:val="006F0912"/>
    <w:rsid w:val="006F2643"/>
    <w:rsid w:val="006F4EA9"/>
    <w:rsid w:val="006F5E14"/>
    <w:rsid w:val="00706058"/>
    <w:rsid w:val="007116D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0D99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4522A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B5435"/>
    <w:rsid w:val="00AC6780"/>
    <w:rsid w:val="00AD4FCF"/>
    <w:rsid w:val="00AE7C70"/>
    <w:rsid w:val="00AF1E96"/>
    <w:rsid w:val="00AF2D0A"/>
    <w:rsid w:val="00B0113D"/>
    <w:rsid w:val="00B17756"/>
    <w:rsid w:val="00B52600"/>
    <w:rsid w:val="00B5306F"/>
    <w:rsid w:val="00B538CC"/>
    <w:rsid w:val="00B571D4"/>
    <w:rsid w:val="00B62571"/>
    <w:rsid w:val="00B71BCE"/>
    <w:rsid w:val="00B802F4"/>
    <w:rsid w:val="00B845D6"/>
    <w:rsid w:val="00B93B68"/>
    <w:rsid w:val="00BA38CC"/>
    <w:rsid w:val="00BA434D"/>
    <w:rsid w:val="00BB2395"/>
    <w:rsid w:val="00BB307F"/>
    <w:rsid w:val="00BB769D"/>
    <w:rsid w:val="00BC27B3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2C07"/>
    <w:rsid w:val="00D6473D"/>
    <w:rsid w:val="00D715C6"/>
    <w:rsid w:val="00DA0029"/>
    <w:rsid w:val="00DA2432"/>
    <w:rsid w:val="00DA7A16"/>
    <w:rsid w:val="00DA7D97"/>
    <w:rsid w:val="00DB1C91"/>
    <w:rsid w:val="00DB2263"/>
    <w:rsid w:val="00DC1D01"/>
    <w:rsid w:val="00DD2D83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75768"/>
    <w:rsid w:val="00E80A28"/>
    <w:rsid w:val="00E82BC8"/>
    <w:rsid w:val="00E87B1C"/>
    <w:rsid w:val="00E91D13"/>
    <w:rsid w:val="00E920EC"/>
    <w:rsid w:val="00E94F5C"/>
    <w:rsid w:val="00EA2B7D"/>
    <w:rsid w:val="00EA7752"/>
    <w:rsid w:val="00EC2C56"/>
    <w:rsid w:val="00EC48EF"/>
    <w:rsid w:val="00ED1186"/>
    <w:rsid w:val="00EE4029"/>
    <w:rsid w:val="00EE4B50"/>
    <w:rsid w:val="00EF1054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9533-805E-4812-9013-23CC2048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4</cp:revision>
  <cp:lastPrinted>2012-06-09T10:34:00Z</cp:lastPrinted>
  <dcterms:created xsi:type="dcterms:W3CDTF">2012-06-18T08:06:00Z</dcterms:created>
  <dcterms:modified xsi:type="dcterms:W3CDTF">2012-06-18T08:07:00Z</dcterms:modified>
</cp:coreProperties>
</file>